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FE173" w14:textId="41D02AD8" w:rsidR="00660B4F" w:rsidRPr="009B2CD9" w:rsidRDefault="009B2CD9" w:rsidP="009B2CD9">
      <w:pPr>
        <w:pBdr>
          <w:bottom w:val="single" w:sz="4" w:space="1" w:color="auto"/>
        </w:pBdr>
        <w:rPr>
          <w:b/>
          <w:bCs/>
        </w:rPr>
      </w:pPr>
      <w:r w:rsidRPr="009B2CD9">
        <w:rPr>
          <w:rFonts w:asciiTheme="majorHAnsi" w:eastAsiaTheme="majorEastAsia" w:hAnsiTheme="majorHAnsi" w:cstheme="majorBidi"/>
          <w:b/>
          <w:bCs/>
          <w:color w:val="1F3864" w:themeColor="accent1" w:themeShade="80"/>
          <w:sz w:val="26"/>
          <w:szCs w:val="26"/>
          <w:lang w:eastAsia="es-ES_tradnl"/>
        </w:rPr>
        <w:t>ANNEX 1</w:t>
      </w:r>
      <w:r w:rsidR="00EF3478">
        <w:rPr>
          <w:rFonts w:asciiTheme="majorHAnsi" w:eastAsiaTheme="majorEastAsia" w:hAnsiTheme="majorHAnsi" w:cstheme="majorBidi"/>
          <w:b/>
          <w:bCs/>
          <w:color w:val="1F3864" w:themeColor="accent1" w:themeShade="80"/>
          <w:sz w:val="26"/>
          <w:szCs w:val="26"/>
          <w:lang w:eastAsia="es-ES_tradnl"/>
        </w:rPr>
        <w:t>1</w:t>
      </w:r>
      <w:r w:rsidRPr="009B2CD9">
        <w:rPr>
          <w:rFonts w:asciiTheme="majorHAnsi" w:eastAsiaTheme="majorEastAsia" w:hAnsiTheme="majorHAnsi" w:cstheme="majorBidi"/>
          <w:b/>
          <w:bCs/>
          <w:color w:val="1F3864" w:themeColor="accent1" w:themeShade="80"/>
          <w:sz w:val="26"/>
          <w:szCs w:val="26"/>
          <w:lang w:eastAsia="es-ES_tradnl"/>
        </w:rPr>
        <w:t>: PERFORMANCE ANALYSIS CHARTS ACCORDING TO AVAILABLE INDICATORS</w:t>
      </w:r>
    </w:p>
    <w:p w14:paraId="054AE785" w14:textId="77777777" w:rsidR="00135E8F" w:rsidRPr="002372D5" w:rsidRDefault="00135E8F" w:rsidP="00135E8F">
      <w:pPr>
        <w:pStyle w:val="Prrafodelista"/>
        <w:jc w:val="both"/>
        <w:rPr>
          <w:lang w:val="es-ES"/>
        </w:rPr>
      </w:pPr>
      <w:r w:rsidRPr="002372D5">
        <w:rPr>
          <w:lang w:val="es-ES"/>
        </w:rPr>
        <w:t>El enfoque para el análisis del desempeño cruza dos grupos de datos principales:</w:t>
      </w:r>
    </w:p>
    <w:p w14:paraId="25A0927D" w14:textId="77777777" w:rsidR="00135E8F" w:rsidRPr="002372D5" w:rsidRDefault="00135E8F" w:rsidP="00135E8F">
      <w:pPr>
        <w:pStyle w:val="NormalWeb"/>
        <w:numPr>
          <w:ilvl w:val="0"/>
          <w:numId w:val="3"/>
        </w:numPr>
        <w:shd w:val="clear" w:color="auto" w:fill="FFFFFF" w:themeFill="background1"/>
        <w:spacing w:before="0" w:beforeAutospacing="0" w:after="120" w:afterAutospacing="0"/>
        <w:ind w:left="425" w:hanging="357"/>
        <w:jc w:val="both"/>
        <w:rPr>
          <w:rFonts w:ascii="Calibri Light" w:eastAsiaTheme="minorEastAsia" w:hAnsi="Calibri Light" w:cs="Calibri Light"/>
          <w:sz w:val="20"/>
          <w:szCs w:val="20"/>
          <w:lang w:val="es-ES"/>
        </w:rPr>
      </w:pPr>
      <w:r w:rsidRPr="002372D5">
        <w:rPr>
          <w:rFonts w:ascii="Calibri Light" w:eastAsiaTheme="minorEastAsia" w:hAnsi="Calibri Light" w:cs="Calibri Light"/>
          <w:sz w:val="20"/>
          <w:szCs w:val="20"/>
          <w:lang w:val="es-ES"/>
        </w:rPr>
        <w:t>El grado de realización reportado a final de año de los “Impact Indicator</w:t>
      </w:r>
      <w:r>
        <w:rPr>
          <w:rFonts w:ascii="Calibri Light" w:eastAsiaTheme="minorEastAsia" w:hAnsi="Calibri Light" w:cs="Calibri Light"/>
          <w:sz w:val="20"/>
          <w:szCs w:val="20"/>
          <w:lang w:val="es-ES"/>
        </w:rPr>
        <w:t>s</w:t>
      </w:r>
      <w:r w:rsidRPr="002372D5">
        <w:rPr>
          <w:rFonts w:ascii="Calibri Light" w:eastAsiaTheme="minorEastAsia" w:hAnsi="Calibri Light" w:cs="Calibri Light"/>
          <w:sz w:val="20"/>
          <w:szCs w:val="20"/>
          <w:lang w:val="es-ES"/>
        </w:rPr>
        <w:t>” a nivel de objetivos y “Performance Indicator” a nivel de “outputs”. El grado de realización se ha determinado relacionando el valor final obtenido con el valor previsto en la meta.</w:t>
      </w:r>
    </w:p>
    <w:p w14:paraId="1C208F97" w14:textId="77777777" w:rsidR="00135E8F" w:rsidRPr="002372D5" w:rsidRDefault="00135E8F" w:rsidP="00135E8F">
      <w:pPr>
        <w:pStyle w:val="NormalWeb"/>
        <w:numPr>
          <w:ilvl w:val="0"/>
          <w:numId w:val="3"/>
        </w:numPr>
        <w:shd w:val="clear" w:color="auto" w:fill="FFFFFF" w:themeFill="background1"/>
        <w:spacing w:before="0" w:beforeAutospacing="0" w:after="120" w:afterAutospacing="0"/>
        <w:ind w:left="425" w:hanging="357"/>
        <w:jc w:val="both"/>
        <w:rPr>
          <w:rFonts w:ascii="Calibri Light" w:eastAsiaTheme="minorEastAsia" w:hAnsi="Calibri Light" w:cs="Calibri Light"/>
          <w:sz w:val="20"/>
          <w:szCs w:val="20"/>
          <w:lang w:val="es-ES"/>
        </w:rPr>
      </w:pPr>
      <w:r w:rsidRPr="002372D5">
        <w:rPr>
          <w:rFonts w:ascii="Calibri Light" w:eastAsiaTheme="minorEastAsia" w:hAnsi="Calibri Light" w:cs="Calibri Light"/>
          <w:sz w:val="20"/>
          <w:szCs w:val="20"/>
          <w:lang w:val="es-ES"/>
        </w:rPr>
        <w:t xml:space="preserve">El grado de </w:t>
      </w:r>
      <w:r>
        <w:rPr>
          <w:rFonts w:ascii="Calibri Light" w:eastAsiaTheme="minorEastAsia" w:hAnsi="Calibri Light" w:cs="Calibri Light"/>
          <w:sz w:val="20"/>
          <w:szCs w:val="20"/>
          <w:lang w:val="es-ES"/>
        </w:rPr>
        <w:t>implementación</w:t>
      </w:r>
      <w:r w:rsidRPr="002372D5">
        <w:rPr>
          <w:rFonts w:ascii="Calibri Light" w:eastAsiaTheme="minorEastAsia" w:hAnsi="Calibri Light" w:cs="Calibri Light"/>
          <w:sz w:val="20"/>
          <w:szCs w:val="20"/>
          <w:lang w:val="es-ES"/>
        </w:rPr>
        <w:t xml:space="preserve"> presupuestaria reportado a final de año para los diferentes “rights groups” y “objectives”, comparando la previsión presupuestaria inicial con la </w:t>
      </w:r>
      <w:r>
        <w:rPr>
          <w:rFonts w:ascii="Calibri Light" w:eastAsiaTheme="minorEastAsia" w:hAnsi="Calibri Light" w:cs="Calibri Light"/>
          <w:sz w:val="20"/>
          <w:szCs w:val="20"/>
          <w:lang w:val="es-ES"/>
        </w:rPr>
        <w:t>implementación</w:t>
      </w:r>
      <w:r w:rsidRPr="002372D5">
        <w:rPr>
          <w:rFonts w:ascii="Calibri Light" w:eastAsiaTheme="minorEastAsia" w:hAnsi="Calibri Light" w:cs="Calibri Light"/>
          <w:sz w:val="20"/>
          <w:szCs w:val="20"/>
          <w:lang w:val="es-ES"/>
        </w:rPr>
        <w:t xml:space="preserve"> presupuestaria efectiva (“expenditure”).</w:t>
      </w:r>
    </w:p>
    <w:p w14:paraId="283166F4" w14:textId="77777777" w:rsidR="00135E8F" w:rsidRPr="002372D5" w:rsidRDefault="00135E8F" w:rsidP="00135E8F">
      <w:pPr>
        <w:pStyle w:val="NormalWeb"/>
        <w:numPr>
          <w:ilvl w:val="0"/>
          <w:numId w:val="3"/>
        </w:numPr>
        <w:shd w:val="clear" w:color="auto" w:fill="FFFFFF" w:themeFill="background1"/>
        <w:spacing w:before="0" w:beforeAutospacing="0" w:after="120" w:afterAutospacing="0"/>
        <w:ind w:left="425" w:hanging="357"/>
        <w:jc w:val="both"/>
        <w:rPr>
          <w:rFonts w:ascii="Calibri Light" w:eastAsiaTheme="minorEastAsia" w:hAnsi="Calibri Light" w:cs="Calibri Light"/>
          <w:sz w:val="20"/>
          <w:szCs w:val="20"/>
          <w:lang w:val="es-ES"/>
        </w:rPr>
      </w:pPr>
      <w:r w:rsidRPr="002372D5">
        <w:rPr>
          <w:rFonts w:ascii="Calibri Light" w:eastAsiaTheme="minorEastAsia" w:hAnsi="Calibri Light" w:cs="Calibri Light"/>
          <w:sz w:val="20"/>
          <w:szCs w:val="20"/>
          <w:lang w:val="es-ES"/>
        </w:rPr>
        <w:t xml:space="preserve">Para relacionar el grado de realización de indicadores con el de </w:t>
      </w:r>
      <w:r>
        <w:rPr>
          <w:rFonts w:ascii="Calibri Light" w:eastAsiaTheme="minorEastAsia" w:hAnsi="Calibri Light" w:cs="Calibri Light"/>
          <w:sz w:val="20"/>
          <w:szCs w:val="20"/>
          <w:lang w:val="es-ES"/>
        </w:rPr>
        <w:t>implementción</w:t>
      </w:r>
      <w:r w:rsidRPr="002372D5">
        <w:rPr>
          <w:rFonts w:ascii="Calibri Light" w:eastAsiaTheme="minorEastAsia" w:hAnsi="Calibri Light" w:cs="Calibri Light"/>
          <w:sz w:val="20"/>
          <w:szCs w:val="20"/>
          <w:lang w:val="es-ES"/>
        </w:rPr>
        <w:t xml:space="preserve"> presupuestaria, se ha agrupado los grados de realización de los “performance indicator” al nivel de objetivos.</w:t>
      </w:r>
    </w:p>
    <w:p w14:paraId="0A4762FB" w14:textId="77777777" w:rsidR="00135E8F" w:rsidRPr="002372D5" w:rsidRDefault="00135E8F" w:rsidP="00135E8F">
      <w:pPr>
        <w:pStyle w:val="Prrafodelista"/>
        <w:jc w:val="both"/>
        <w:rPr>
          <w:lang w:val="es-ES"/>
        </w:rPr>
      </w:pPr>
      <w:r w:rsidRPr="002372D5">
        <w:rPr>
          <w:noProof/>
          <w:lang w:val="es-ES"/>
        </w:rPr>
        <w:drawing>
          <wp:anchor distT="0" distB="0" distL="114300" distR="114300" simplePos="0" relativeHeight="251671552" behindDoc="0" locked="0" layoutInCell="1" allowOverlap="1" wp14:anchorId="3E85C3F5" wp14:editId="2CBB74F5">
            <wp:simplePos x="0" y="0"/>
            <wp:positionH relativeFrom="column">
              <wp:posOffset>1905</wp:posOffset>
            </wp:positionH>
            <wp:positionV relativeFrom="paragraph">
              <wp:posOffset>61595</wp:posOffset>
            </wp:positionV>
            <wp:extent cx="2919600" cy="1436400"/>
            <wp:effectExtent l="0" t="0" r="1905" b="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919600" cy="1436400"/>
                    </a:xfrm>
                    <a:prstGeom prst="rect">
                      <a:avLst/>
                    </a:prstGeom>
                  </pic:spPr>
                </pic:pic>
              </a:graphicData>
            </a:graphic>
            <wp14:sizeRelH relativeFrom="margin">
              <wp14:pctWidth>0</wp14:pctWidth>
            </wp14:sizeRelH>
            <wp14:sizeRelV relativeFrom="margin">
              <wp14:pctHeight>0</wp14:pctHeight>
            </wp14:sizeRelV>
          </wp:anchor>
        </w:drawing>
      </w:r>
      <w:r w:rsidRPr="002372D5">
        <w:rPr>
          <w:lang w:val="es-ES"/>
        </w:rPr>
        <w:t>El cruce entre ambos grupos de datos proporciona una aproximación a la coherencia entre la consecución de las metas propuestas y el empleo de recursos. En la gráfica se visualiza un ejemplo de cómo estos cruces de datos (objetivos), situados en diferentes zonas (coherencia, dispersión o error y alerta) definen tendencias.</w:t>
      </w:r>
    </w:p>
    <w:p w14:paraId="6FACDD78" w14:textId="77777777" w:rsidR="00135E8F" w:rsidRPr="002372D5" w:rsidRDefault="00135E8F" w:rsidP="00135E8F">
      <w:pPr>
        <w:pStyle w:val="Prrafodelista"/>
        <w:jc w:val="both"/>
        <w:rPr>
          <w:lang w:val="es-ES"/>
        </w:rPr>
      </w:pPr>
      <w:r w:rsidRPr="002372D5">
        <w:rPr>
          <w:lang w:val="es-ES"/>
        </w:rPr>
        <w:t>El análisis de desempeño permite identificar tendencias o patrones tanto a nivel de la calidad de las previsiones realizadas a inicios de año (previsiones presupuestarias y de metas, especialmente la determinación de denominadores), como del comportamiento operacional y presupuestario de las diferentes intervenciones a nivel de “Rights groups” y “Objectives”. La consistencia de este enfoque es tributaria de la similitud en la tipología de indicadores, de la calidad de los denominadores de las metas y previsiones presupuestarias y del reporting en general.</w:t>
      </w:r>
    </w:p>
    <w:p w14:paraId="55B93DD4" w14:textId="77777777" w:rsidR="00135E8F" w:rsidRPr="002372D5" w:rsidRDefault="00135E8F" w:rsidP="00135E8F">
      <w:pPr>
        <w:pStyle w:val="Prrafodelista"/>
        <w:jc w:val="both"/>
        <w:rPr>
          <w:lang w:val="es-ES"/>
        </w:rPr>
      </w:pPr>
      <w:r w:rsidRPr="002372D5">
        <w:rPr>
          <w:lang w:val="es-ES"/>
        </w:rPr>
        <w:t>En el marco de la presente evaluación, el análisis realizado permite una aproximación general al desempeño, pero teniendo en cuenta la casuística y limitaciones de los sistemas de monitoreo y reporting actuales de ACNUR, en ningún caso puede utilizarse como un cálculo preciso de determinación de eficacia o de eficiencia de la operación en México.</w:t>
      </w:r>
    </w:p>
    <w:p w14:paraId="7E39AA65" w14:textId="77777777" w:rsidR="00135E8F" w:rsidRDefault="00135E8F"/>
    <w:p w14:paraId="6CB12714" w14:textId="77777777" w:rsidR="003821CB" w:rsidRPr="002372D5" w:rsidRDefault="003821CB" w:rsidP="003821CB">
      <w:pPr>
        <w:pStyle w:val="Ttulo4"/>
        <w:jc w:val="both"/>
      </w:pPr>
      <w:r w:rsidRPr="002372D5">
        <w:t>Aproximación al desempeño en Entorno favorable a la protección.</w:t>
      </w:r>
    </w:p>
    <w:p w14:paraId="63351663" w14:textId="77777777" w:rsidR="003821CB" w:rsidRPr="002372D5" w:rsidRDefault="003821CB" w:rsidP="003821CB">
      <w:pPr>
        <w:pStyle w:val="Prrafodelista"/>
        <w:jc w:val="both"/>
        <w:rPr>
          <w:lang w:val="es-ES"/>
        </w:rPr>
      </w:pPr>
      <w:r w:rsidRPr="002372D5">
        <w:rPr>
          <w:lang w:val="es-ES"/>
        </w:rPr>
        <w:t xml:space="preserve">La gráfica siguiente muestra, de manera aproximada, la relación entre el logro en los indicadores de resultados y la </w:t>
      </w:r>
      <w:r>
        <w:rPr>
          <w:lang w:val="es-ES"/>
        </w:rPr>
        <w:t>implementación</w:t>
      </w:r>
      <w:r w:rsidRPr="002372D5">
        <w:rPr>
          <w:lang w:val="es-ES"/>
        </w:rPr>
        <w:t xml:space="preserve"> presupuestaria a partir de los documentos de planificación y monitoreo de ACNUR, disponibles para el periodo 2018 – 2020 (ver </w:t>
      </w:r>
      <w:r>
        <w:rPr>
          <w:lang w:val="es-ES"/>
        </w:rPr>
        <w:t>anexos</w:t>
      </w:r>
      <w:r w:rsidRPr="002372D5">
        <w:rPr>
          <w:lang w:val="es-ES"/>
        </w:rPr>
        <w:t xml:space="preserve"> 9, 10 y 11).</w:t>
      </w:r>
    </w:p>
    <w:p w14:paraId="06A8B201" w14:textId="77777777" w:rsidR="003821CB" w:rsidRPr="002372D5" w:rsidRDefault="003821CB" w:rsidP="003821CB">
      <w:pPr>
        <w:pStyle w:val="Prrafodelista"/>
        <w:jc w:val="both"/>
        <w:rPr>
          <w:lang w:val="es-ES"/>
        </w:rPr>
      </w:pPr>
      <w:r w:rsidRPr="002372D5">
        <w:rPr>
          <w:lang w:val="es-ES"/>
        </w:rPr>
        <w:t xml:space="preserve">Se aprecia una convergencia progresiva hacia mayor consistencia y entre logro de indicadores y presupuesto ejecutado en el año 2020, excepto en el objetivo de “access to territory” donde se muestra un elevado grado de </w:t>
      </w:r>
      <w:r>
        <w:rPr>
          <w:lang w:val="es-ES"/>
        </w:rPr>
        <w:t>implementación</w:t>
      </w:r>
      <w:r w:rsidRPr="002372D5">
        <w:rPr>
          <w:lang w:val="es-ES"/>
        </w:rPr>
        <w:t xml:space="preserve"> presupuestaria relacionado con un modesto logro de objetivo.</w:t>
      </w:r>
    </w:p>
    <w:p w14:paraId="10C18245" w14:textId="77777777" w:rsidR="003821CB" w:rsidRPr="002372D5" w:rsidRDefault="003821CB" w:rsidP="003821CB">
      <w:pPr>
        <w:pStyle w:val="Descripcin"/>
        <w:jc w:val="both"/>
        <w:rPr>
          <w:b w:val="0"/>
          <w:bCs w:val="0"/>
        </w:rPr>
      </w:pPr>
      <w:bookmarkStart w:id="0" w:name="_Toc87207038"/>
      <w:r w:rsidRPr="002372D5">
        <w:t xml:space="preserve">Gráfica </w:t>
      </w:r>
      <w:r w:rsidRPr="002372D5">
        <w:fldChar w:fldCharType="begin"/>
      </w:r>
      <w:r w:rsidRPr="002372D5">
        <w:instrText>SEQ Gráfica \* ARABIC</w:instrText>
      </w:r>
      <w:r w:rsidRPr="002372D5">
        <w:fldChar w:fldCharType="separate"/>
      </w:r>
      <w:r w:rsidRPr="002372D5">
        <w:t>2</w:t>
      </w:r>
      <w:r w:rsidRPr="002372D5">
        <w:fldChar w:fldCharType="end"/>
      </w:r>
      <w:r w:rsidRPr="002372D5">
        <w:t>: Aproximación al desempeño según grado de realización de los indicadores de resultados y de ejecución presupuestaria a nivel de objetivos (2018 – 2020)</w:t>
      </w:r>
      <w:r w:rsidRPr="002372D5">
        <w:rPr>
          <w:b w:val="0"/>
          <w:bCs w:val="0"/>
        </w:rPr>
        <w:t xml:space="preserve"> - </w:t>
      </w:r>
      <w:r w:rsidRPr="002372D5">
        <w:t>Entorno favorable a la protección (“Favourable Protection Environment”)</w:t>
      </w:r>
      <w:bookmarkEnd w:id="0"/>
    </w:p>
    <w:p w14:paraId="6AAF437E" w14:textId="77777777" w:rsidR="003821CB" w:rsidRPr="002372D5" w:rsidRDefault="003821CB" w:rsidP="003821CB">
      <w:pPr>
        <w:contextualSpacing/>
        <w:jc w:val="both"/>
        <w:rPr>
          <w:sz w:val="20"/>
          <w:szCs w:val="20"/>
        </w:rPr>
      </w:pPr>
      <w:r w:rsidRPr="002372D5">
        <w:rPr>
          <w:noProof/>
          <w:sz w:val="20"/>
          <w:szCs w:val="20"/>
        </w:rPr>
        <w:lastRenderedPageBreak/>
        <w:drawing>
          <wp:anchor distT="0" distB="0" distL="114300" distR="114300" simplePos="0" relativeHeight="251659264" behindDoc="0" locked="0" layoutInCell="1" allowOverlap="1" wp14:anchorId="2D8AC77A" wp14:editId="40136A03">
            <wp:simplePos x="0" y="0"/>
            <wp:positionH relativeFrom="column">
              <wp:posOffset>3750917</wp:posOffset>
            </wp:positionH>
            <wp:positionV relativeFrom="paragraph">
              <wp:posOffset>1750005</wp:posOffset>
            </wp:positionV>
            <wp:extent cx="415636" cy="387167"/>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415636" cy="387167"/>
                    </a:xfrm>
                    <a:prstGeom prst="rect">
                      <a:avLst/>
                    </a:prstGeom>
                  </pic:spPr>
                </pic:pic>
              </a:graphicData>
            </a:graphic>
            <wp14:sizeRelH relativeFrom="margin">
              <wp14:pctWidth>0</wp14:pctWidth>
            </wp14:sizeRelH>
            <wp14:sizeRelV relativeFrom="margin">
              <wp14:pctHeight>0</wp14:pctHeight>
            </wp14:sizeRelV>
          </wp:anchor>
        </w:drawing>
      </w:r>
      <w:r w:rsidRPr="002372D5">
        <w:rPr>
          <w:noProof/>
        </w:rPr>
        <w:drawing>
          <wp:inline distT="0" distB="0" distL="0" distR="0" wp14:anchorId="43D6D500" wp14:editId="23B627A9">
            <wp:extent cx="3465185" cy="2576222"/>
            <wp:effectExtent l="0" t="0" r="2540" b="1905"/>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10879" cy="2610194"/>
                    </a:xfrm>
                    <a:prstGeom prst="rect">
                      <a:avLst/>
                    </a:prstGeom>
                  </pic:spPr>
                </pic:pic>
              </a:graphicData>
            </a:graphic>
          </wp:inline>
        </w:drawing>
      </w:r>
    </w:p>
    <w:p w14:paraId="60BD1BFA" w14:textId="77777777" w:rsidR="003821CB" w:rsidRPr="002372D5" w:rsidRDefault="003821CB" w:rsidP="003821CB">
      <w:pPr>
        <w:contextualSpacing/>
        <w:jc w:val="both"/>
        <w:rPr>
          <w:sz w:val="16"/>
          <w:szCs w:val="16"/>
        </w:rPr>
      </w:pPr>
      <w:r w:rsidRPr="002372D5">
        <w:rPr>
          <w:sz w:val="16"/>
          <w:szCs w:val="16"/>
        </w:rPr>
        <w:t>Fuente: COP y reporting.unhcr.org</w:t>
      </w:r>
    </w:p>
    <w:p w14:paraId="51E7328A" w14:textId="77777777" w:rsidR="003821CB" w:rsidRPr="002372D5" w:rsidRDefault="003821CB" w:rsidP="003821CB">
      <w:pPr>
        <w:contextualSpacing/>
        <w:jc w:val="both"/>
        <w:rPr>
          <w:sz w:val="16"/>
          <w:szCs w:val="16"/>
        </w:rPr>
      </w:pPr>
      <w:r w:rsidRPr="002372D5">
        <w:rPr>
          <w:sz w:val="16"/>
          <w:szCs w:val="16"/>
        </w:rPr>
        <w:t>Nota: La metodología utilizada para la aproximación del desempeño permite identificar algunas tendencias y patrones entre grupos de indicadores homogéneos, tanto en términos de consistencia del indicador como de apreciación de resultados, pero en ningún caso puede utilizarse como parámetro preciso de determinación de eficacia o de eficiencia.</w:t>
      </w:r>
    </w:p>
    <w:p w14:paraId="0F76A927" w14:textId="5643FF54" w:rsidR="003821CB" w:rsidRDefault="003821CB"/>
    <w:p w14:paraId="09A72245" w14:textId="6BDA61FE" w:rsidR="003821CB" w:rsidRDefault="003821CB"/>
    <w:p w14:paraId="5F40460D" w14:textId="77777777" w:rsidR="003821CB" w:rsidRPr="002372D5" w:rsidRDefault="003821CB" w:rsidP="003821CB">
      <w:pPr>
        <w:pStyle w:val="Ttulo4"/>
        <w:jc w:val="both"/>
      </w:pPr>
      <w:r w:rsidRPr="002372D5">
        <w:t>Aproximación al desempeño en Servicios esenciales y necesidades básicas.</w:t>
      </w:r>
    </w:p>
    <w:p w14:paraId="3FCC53F6" w14:textId="77777777" w:rsidR="003821CB" w:rsidRPr="002372D5" w:rsidRDefault="003821CB" w:rsidP="003821CB">
      <w:pPr>
        <w:pStyle w:val="Prrafodelista"/>
        <w:jc w:val="both"/>
        <w:rPr>
          <w:lang w:val="es-ES"/>
        </w:rPr>
      </w:pPr>
      <w:r w:rsidRPr="002372D5">
        <w:rPr>
          <w:lang w:val="es-ES"/>
        </w:rPr>
        <w:t xml:space="preserve">La gráfica siguiente muestra, de manera aproximada, la relación entre el logro en los indicadores de resultados y la </w:t>
      </w:r>
      <w:r>
        <w:rPr>
          <w:lang w:val="es-ES"/>
        </w:rPr>
        <w:t>implementación</w:t>
      </w:r>
      <w:r w:rsidRPr="002372D5">
        <w:rPr>
          <w:lang w:val="es-ES"/>
        </w:rPr>
        <w:t xml:space="preserve"> presupuestaria a partir de los documentos de planificación y monitoreo de ACNUR, disponibles para el periodo 2018 – 2020 (ver anejos 9, 10 y 11).</w:t>
      </w:r>
    </w:p>
    <w:p w14:paraId="1CBDEC25" w14:textId="77777777" w:rsidR="003821CB" w:rsidRPr="002372D5" w:rsidRDefault="003821CB" w:rsidP="003821CB">
      <w:pPr>
        <w:pStyle w:val="Descripcin"/>
        <w:jc w:val="both"/>
        <w:rPr>
          <w:b w:val="0"/>
          <w:bCs w:val="0"/>
        </w:rPr>
      </w:pPr>
      <w:bookmarkStart w:id="1" w:name="_Toc87207042"/>
      <w:r w:rsidRPr="002372D5">
        <w:t xml:space="preserve">Gráfica </w:t>
      </w:r>
      <w:r w:rsidRPr="002372D5">
        <w:fldChar w:fldCharType="begin"/>
      </w:r>
      <w:r w:rsidRPr="002372D5">
        <w:instrText>SEQ Gráfica \* ARABIC</w:instrText>
      </w:r>
      <w:r w:rsidRPr="002372D5">
        <w:fldChar w:fldCharType="separate"/>
      </w:r>
      <w:r w:rsidRPr="002372D5">
        <w:t>6</w:t>
      </w:r>
      <w:r w:rsidRPr="002372D5">
        <w:fldChar w:fldCharType="end"/>
      </w:r>
      <w:r w:rsidRPr="002372D5">
        <w:t>: Aproximación al desempeño según grado de realización de los indicadores de resultados y de ejecución presupuestaria a nivel de objetivos (2018 – 2020)</w:t>
      </w:r>
      <w:r w:rsidRPr="002372D5">
        <w:rPr>
          <w:b w:val="0"/>
          <w:bCs w:val="0"/>
        </w:rPr>
        <w:t xml:space="preserve"> - </w:t>
      </w:r>
      <w:r w:rsidRPr="002372D5">
        <w:t>Servicios esenciales y necesidades básicas (“Basic Needs and Essential Services”)</w:t>
      </w:r>
      <w:bookmarkEnd w:id="1"/>
    </w:p>
    <w:p w14:paraId="3D1910DF" w14:textId="77777777" w:rsidR="003821CB" w:rsidRPr="002372D5" w:rsidRDefault="003821CB" w:rsidP="003821CB">
      <w:pPr>
        <w:jc w:val="both"/>
      </w:pPr>
      <w:r w:rsidRPr="002372D5">
        <w:rPr>
          <w:noProof/>
        </w:rPr>
        <w:drawing>
          <wp:anchor distT="0" distB="0" distL="114300" distR="114300" simplePos="0" relativeHeight="251661312" behindDoc="0" locked="0" layoutInCell="1" allowOverlap="1" wp14:anchorId="25BA859A" wp14:editId="7FA434AA">
            <wp:simplePos x="0" y="0"/>
            <wp:positionH relativeFrom="column">
              <wp:posOffset>3839240</wp:posOffset>
            </wp:positionH>
            <wp:positionV relativeFrom="paragraph">
              <wp:posOffset>1792088</wp:posOffset>
            </wp:positionV>
            <wp:extent cx="393793" cy="365665"/>
            <wp:effectExtent l="0" t="0" r="0" b="3175"/>
            <wp:wrapNone/>
            <wp:docPr id="2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93793" cy="365665"/>
                    </a:xfrm>
                    <a:prstGeom prst="rect">
                      <a:avLst/>
                    </a:prstGeom>
                  </pic:spPr>
                </pic:pic>
              </a:graphicData>
            </a:graphic>
            <wp14:sizeRelH relativeFrom="page">
              <wp14:pctWidth>0</wp14:pctWidth>
            </wp14:sizeRelH>
            <wp14:sizeRelV relativeFrom="page">
              <wp14:pctHeight>0</wp14:pctHeight>
            </wp14:sizeRelV>
          </wp:anchor>
        </w:drawing>
      </w:r>
      <w:r w:rsidRPr="002372D5">
        <w:rPr>
          <w:noProof/>
        </w:rPr>
        <w:drawing>
          <wp:inline distT="0" distB="0" distL="0" distR="0" wp14:anchorId="59856826" wp14:editId="6DF96686">
            <wp:extent cx="3513283" cy="2587054"/>
            <wp:effectExtent l="0" t="0" r="5080" b="381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28739" cy="2598435"/>
                    </a:xfrm>
                    <a:prstGeom prst="rect">
                      <a:avLst/>
                    </a:prstGeom>
                  </pic:spPr>
                </pic:pic>
              </a:graphicData>
            </a:graphic>
          </wp:inline>
        </w:drawing>
      </w:r>
    </w:p>
    <w:p w14:paraId="05A91528" w14:textId="77777777" w:rsidR="003821CB" w:rsidRPr="002372D5" w:rsidRDefault="003821CB" w:rsidP="003821CB">
      <w:pPr>
        <w:contextualSpacing/>
        <w:jc w:val="both"/>
        <w:rPr>
          <w:sz w:val="16"/>
          <w:szCs w:val="16"/>
        </w:rPr>
      </w:pPr>
      <w:r w:rsidRPr="002372D5">
        <w:rPr>
          <w:sz w:val="16"/>
          <w:szCs w:val="16"/>
        </w:rPr>
        <w:t>Fuente: COP y reporting.unhcr.org</w:t>
      </w:r>
    </w:p>
    <w:p w14:paraId="429D405A" w14:textId="77777777" w:rsidR="003821CB" w:rsidRPr="002372D5" w:rsidRDefault="003821CB" w:rsidP="003821CB">
      <w:pPr>
        <w:contextualSpacing/>
        <w:jc w:val="both"/>
        <w:rPr>
          <w:sz w:val="16"/>
          <w:szCs w:val="16"/>
        </w:rPr>
      </w:pPr>
      <w:r w:rsidRPr="002372D5">
        <w:rPr>
          <w:sz w:val="16"/>
          <w:szCs w:val="16"/>
        </w:rPr>
        <w:t>Nota: La metodología utilizada para la aproximación del desempeño permite identificar algunas tendencias y patrones entre grupos de indicadores homogéneos, tanto en términos de consistencia del indicador como de apreciación de resultados, pero en ningún caso puede utilizarse como parámetro preciso de determinación de eficacia o de eficiencia.</w:t>
      </w:r>
    </w:p>
    <w:p w14:paraId="33EE3E91" w14:textId="76C8BA11" w:rsidR="003821CB" w:rsidRDefault="003821CB"/>
    <w:p w14:paraId="0D971670" w14:textId="78448EB1" w:rsidR="003821CB" w:rsidRDefault="003821CB"/>
    <w:p w14:paraId="0D222347" w14:textId="77777777" w:rsidR="003821CB" w:rsidRPr="002372D5" w:rsidRDefault="003821CB" w:rsidP="003821CB">
      <w:pPr>
        <w:pStyle w:val="Prrafodelista"/>
        <w:jc w:val="both"/>
        <w:rPr>
          <w:lang w:val="es-ES"/>
        </w:rPr>
      </w:pPr>
      <w:r w:rsidRPr="002372D5">
        <w:rPr>
          <w:lang w:val="es-ES"/>
        </w:rPr>
        <w:t>Se aprecia una convergencia progresiva hacia mayor consistencia y entre logro de objetivos y presupuesto ejecutado en el año 2020. El objetivo de “status determination” muestra en 2020 y elevado grado de realización del resultado con una ejecución presupuestaria intermedia. El objetivo de “family re-unification” muestra un elevado grado de ejecución presupuestaria relacionado con un modesto logro de objetivo.</w:t>
      </w:r>
    </w:p>
    <w:p w14:paraId="71B00E6A" w14:textId="77777777" w:rsidR="003821CB" w:rsidRPr="002372D5" w:rsidRDefault="003821CB" w:rsidP="003821CB">
      <w:pPr>
        <w:pStyle w:val="Descripcin"/>
        <w:jc w:val="both"/>
      </w:pPr>
      <w:bookmarkStart w:id="2" w:name="_Toc87207043"/>
      <w:r w:rsidRPr="002372D5">
        <w:t xml:space="preserve">Gráfica </w:t>
      </w:r>
      <w:r w:rsidRPr="002372D5">
        <w:fldChar w:fldCharType="begin"/>
      </w:r>
      <w:r w:rsidRPr="002372D5">
        <w:instrText>SEQ Gráfica \* ARABIC</w:instrText>
      </w:r>
      <w:r w:rsidRPr="002372D5">
        <w:fldChar w:fldCharType="separate"/>
      </w:r>
      <w:r w:rsidRPr="002372D5">
        <w:t>7</w:t>
      </w:r>
      <w:r w:rsidRPr="002372D5">
        <w:fldChar w:fldCharType="end"/>
      </w:r>
      <w:r w:rsidRPr="002372D5">
        <w:t>: Aproximación al desempeño según grado de realización de los indicadores de resultados y de ejecución presupuestaria a nivel de objetivos (2018 – 2020)</w:t>
      </w:r>
      <w:r w:rsidRPr="002372D5">
        <w:rPr>
          <w:b w:val="0"/>
          <w:bCs w:val="0"/>
        </w:rPr>
        <w:t xml:space="preserve"> - </w:t>
      </w:r>
      <w:r w:rsidRPr="002372D5">
        <w:t>Documentación y procedimientos de protección justos (“Fair Protection Processes and Documentation”)</w:t>
      </w:r>
      <w:bookmarkEnd w:id="2"/>
    </w:p>
    <w:p w14:paraId="0A25FE7C" w14:textId="77777777" w:rsidR="003821CB" w:rsidRPr="002372D5" w:rsidRDefault="003821CB" w:rsidP="003821CB">
      <w:pPr>
        <w:jc w:val="both"/>
      </w:pPr>
      <w:r w:rsidRPr="002372D5">
        <w:rPr>
          <w:noProof/>
        </w:rPr>
        <w:drawing>
          <wp:anchor distT="0" distB="0" distL="114300" distR="114300" simplePos="0" relativeHeight="251663360" behindDoc="0" locked="0" layoutInCell="1" allowOverlap="1" wp14:anchorId="308C1C70" wp14:editId="0A2BD114">
            <wp:simplePos x="0" y="0"/>
            <wp:positionH relativeFrom="column">
              <wp:posOffset>3938359</wp:posOffset>
            </wp:positionH>
            <wp:positionV relativeFrom="paragraph">
              <wp:posOffset>1932290</wp:posOffset>
            </wp:positionV>
            <wp:extent cx="393211" cy="365125"/>
            <wp:effectExtent l="0" t="0" r="0" b="3175"/>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93211" cy="365125"/>
                    </a:xfrm>
                    <a:prstGeom prst="rect">
                      <a:avLst/>
                    </a:prstGeom>
                  </pic:spPr>
                </pic:pic>
              </a:graphicData>
            </a:graphic>
            <wp14:sizeRelH relativeFrom="page">
              <wp14:pctWidth>0</wp14:pctWidth>
            </wp14:sizeRelH>
            <wp14:sizeRelV relativeFrom="page">
              <wp14:pctHeight>0</wp14:pctHeight>
            </wp14:sizeRelV>
          </wp:anchor>
        </w:drawing>
      </w:r>
      <w:r w:rsidRPr="002372D5">
        <w:rPr>
          <w:noProof/>
        </w:rPr>
        <w:drawing>
          <wp:inline distT="0" distB="0" distL="0" distR="0" wp14:anchorId="4E009E51" wp14:editId="08C67028">
            <wp:extent cx="3738569" cy="2825066"/>
            <wp:effectExtent l="0" t="0" r="0" b="0"/>
            <wp:docPr id="2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773424" cy="2851404"/>
                    </a:xfrm>
                    <a:prstGeom prst="rect">
                      <a:avLst/>
                    </a:prstGeom>
                  </pic:spPr>
                </pic:pic>
              </a:graphicData>
            </a:graphic>
          </wp:inline>
        </w:drawing>
      </w:r>
    </w:p>
    <w:p w14:paraId="6EA085D4" w14:textId="77777777" w:rsidR="003821CB" w:rsidRPr="002372D5" w:rsidRDefault="003821CB" w:rsidP="003821CB">
      <w:pPr>
        <w:contextualSpacing/>
        <w:jc w:val="both"/>
        <w:rPr>
          <w:sz w:val="16"/>
          <w:szCs w:val="16"/>
        </w:rPr>
      </w:pPr>
      <w:r w:rsidRPr="002372D5">
        <w:rPr>
          <w:sz w:val="16"/>
          <w:szCs w:val="16"/>
        </w:rPr>
        <w:t>Fuente: COP y reporting.unhcr.org</w:t>
      </w:r>
    </w:p>
    <w:p w14:paraId="1F3B0B5B" w14:textId="77777777" w:rsidR="003821CB" w:rsidRPr="002372D5" w:rsidRDefault="003821CB" w:rsidP="003821CB">
      <w:pPr>
        <w:contextualSpacing/>
        <w:jc w:val="both"/>
        <w:rPr>
          <w:sz w:val="16"/>
          <w:szCs w:val="16"/>
        </w:rPr>
      </w:pPr>
      <w:r w:rsidRPr="002372D5">
        <w:rPr>
          <w:sz w:val="16"/>
          <w:szCs w:val="16"/>
        </w:rPr>
        <w:t>Nota: La metodología utilizada para la aproximación del desempeño permite identificar algunas tendencias y patrones entre grupos de indicadores homogéneos, tanto en términos de consistencia del indicador como de apreciación de resultados, pero en ningún caso puede utilizarse como parámetro preciso de determinación de eficacia o de eficiencia.</w:t>
      </w:r>
    </w:p>
    <w:p w14:paraId="372F66EB" w14:textId="77777777" w:rsidR="003821CB" w:rsidRPr="002372D5" w:rsidRDefault="003821CB" w:rsidP="003821CB">
      <w:pPr>
        <w:spacing w:after="0" w:line="240" w:lineRule="auto"/>
        <w:jc w:val="both"/>
        <w:rPr>
          <w:sz w:val="20"/>
          <w:szCs w:val="20"/>
        </w:rPr>
      </w:pPr>
    </w:p>
    <w:p w14:paraId="79230B7E" w14:textId="77777777" w:rsidR="003821CB" w:rsidRDefault="003821CB"/>
    <w:p w14:paraId="01216E72" w14:textId="77777777" w:rsidR="003821CB" w:rsidRPr="002372D5" w:rsidRDefault="003821CB" w:rsidP="003821CB">
      <w:pPr>
        <w:pStyle w:val="Ttulo4"/>
        <w:jc w:val="both"/>
      </w:pPr>
      <w:r w:rsidRPr="002372D5">
        <w:t>Aproximación al desempeño en Seguridad frente a la violencia y la explotación.</w:t>
      </w:r>
    </w:p>
    <w:p w14:paraId="7A96AABB" w14:textId="77777777" w:rsidR="003821CB" w:rsidRPr="002372D5" w:rsidRDefault="003821CB" w:rsidP="003821CB">
      <w:pPr>
        <w:pStyle w:val="Prrafodelista"/>
        <w:jc w:val="both"/>
        <w:rPr>
          <w:lang w:val="es-ES"/>
        </w:rPr>
      </w:pPr>
      <w:r w:rsidRPr="002372D5">
        <w:rPr>
          <w:lang w:val="es-ES"/>
        </w:rPr>
        <w:t xml:space="preserve">La gráfica siguiente muestra, de manera aproximada, la relación entre el logro en los indicadores de resultados y la </w:t>
      </w:r>
      <w:r>
        <w:rPr>
          <w:lang w:val="es-ES"/>
        </w:rPr>
        <w:t>implementación</w:t>
      </w:r>
      <w:r w:rsidRPr="002372D5">
        <w:rPr>
          <w:lang w:val="es-ES"/>
        </w:rPr>
        <w:t xml:space="preserve"> presupuestaria a partir de los documentos de planificación y monitoreo de ACNUR, disponibles para el periodo 2018 – 2020 (ver anejos 9, 10 y 11).</w:t>
      </w:r>
    </w:p>
    <w:p w14:paraId="0120C54B" w14:textId="77777777" w:rsidR="003821CB" w:rsidRPr="002372D5" w:rsidRDefault="003821CB" w:rsidP="003821CB">
      <w:pPr>
        <w:pStyle w:val="Prrafodelista"/>
        <w:jc w:val="both"/>
        <w:rPr>
          <w:lang w:val="es-ES"/>
        </w:rPr>
      </w:pPr>
      <w:r w:rsidRPr="002372D5">
        <w:rPr>
          <w:lang w:val="es-ES"/>
        </w:rPr>
        <w:t>Se aprecia una elevada variabilidad entre años en el desempeño del objetivo de “child protection” y de “SGBV response”.</w:t>
      </w:r>
    </w:p>
    <w:p w14:paraId="613D88EA" w14:textId="77777777" w:rsidR="003821CB" w:rsidRPr="002372D5" w:rsidRDefault="003821CB" w:rsidP="003821CB">
      <w:pPr>
        <w:pStyle w:val="Descripcin"/>
        <w:jc w:val="both"/>
        <w:rPr>
          <w:b w:val="0"/>
          <w:bCs w:val="0"/>
        </w:rPr>
      </w:pPr>
      <w:bookmarkStart w:id="3" w:name="_Toc87207044"/>
      <w:r w:rsidRPr="002372D5">
        <w:t xml:space="preserve">Gráfica </w:t>
      </w:r>
      <w:r w:rsidRPr="002372D5">
        <w:fldChar w:fldCharType="begin"/>
      </w:r>
      <w:r w:rsidRPr="002372D5">
        <w:instrText>SEQ Gráfica \* ARABIC</w:instrText>
      </w:r>
      <w:r w:rsidRPr="002372D5">
        <w:fldChar w:fldCharType="separate"/>
      </w:r>
      <w:r w:rsidRPr="002372D5">
        <w:t>8</w:t>
      </w:r>
      <w:r w:rsidRPr="002372D5">
        <w:fldChar w:fldCharType="end"/>
      </w:r>
      <w:r w:rsidRPr="002372D5">
        <w:t>: Aproximación al desempeño según grado de realización de los indicadores de resultados y de ejecución presupuestaria a nivel de objetivos (2018 – 2020)</w:t>
      </w:r>
      <w:r w:rsidRPr="002372D5">
        <w:rPr>
          <w:b w:val="0"/>
          <w:bCs w:val="0"/>
        </w:rPr>
        <w:t xml:space="preserve"> - </w:t>
      </w:r>
      <w:r w:rsidRPr="002372D5">
        <w:t>Seguridad frente a la violencia y la explotación (“Security from Violence and Exploitation”)</w:t>
      </w:r>
      <w:bookmarkEnd w:id="3"/>
    </w:p>
    <w:p w14:paraId="10BA5B78" w14:textId="77777777" w:rsidR="003821CB" w:rsidRPr="002372D5" w:rsidRDefault="003821CB" w:rsidP="003821CB">
      <w:pPr>
        <w:jc w:val="both"/>
      </w:pPr>
      <w:r w:rsidRPr="002372D5">
        <w:rPr>
          <w:noProof/>
        </w:rPr>
        <w:lastRenderedPageBreak/>
        <w:drawing>
          <wp:anchor distT="0" distB="0" distL="114300" distR="114300" simplePos="0" relativeHeight="251665408" behindDoc="0" locked="0" layoutInCell="1" allowOverlap="1" wp14:anchorId="12C2B26E" wp14:editId="5243EF51">
            <wp:simplePos x="0" y="0"/>
            <wp:positionH relativeFrom="column">
              <wp:posOffset>4023064</wp:posOffset>
            </wp:positionH>
            <wp:positionV relativeFrom="paragraph">
              <wp:posOffset>2018399</wp:posOffset>
            </wp:positionV>
            <wp:extent cx="393793" cy="365665"/>
            <wp:effectExtent l="0" t="0" r="0" b="3175"/>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393793" cy="365665"/>
                    </a:xfrm>
                    <a:prstGeom prst="rect">
                      <a:avLst/>
                    </a:prstGeom>
                  </pic:spPr>
                </pic:pic>
              </a:graphicData>
            </a:graphic>
            <wp14:sizeRelH relativeFrom="page">
              <wp14:pctWidth>0</wp14:pctWidth>
            </wp14:sizeRelH>
            <wp14:sizeRelV relativeFrom="page">
              <wp14:pctHeight>0</wp14:pctHeight>
            </wp14:sizeRelV>
          </wp:anchor>
        </w:drawing>
      </w:r>
      <w:r w:rsidRPr="002372D5">
        <w:rPr>
          <w:noProof/>
        </w:rPr>
        <w:drawing>
          <wp:inline distT="0" distB="0" distL="0" distR="0" wp14:anchorId="1340C999" wp14:editId="3782BDE3">
            <wp:extent cx="3465030" cy="2577645"/>
            <wp:effectExtent l="0" t="0" r="2540" b="63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97579" cy="2601859"/>
                    </a:xfrm>
                    <a:prstGeom prst="rect">
                      <a:avLst/>
                    </a:prstGeom>
                  </pic:spPr>
                </pic:pic>
              </a:graphicData>
            </a:graphic>
          </wp:inline>
        </w:drawing>
      </w:r>
    </w:p>
    <w:p w14:paraId="5853BD18" w14:textId="77777777" w:rsidR="003821CB" w:rsidRPr="002372D5" w:rsidRDefault="003821CB" w:rsidP="003821CB">
      <w:pPr>
        <w:contextualSpacing/>
        <w:jc w:val="both"/>
        <w:rPr>
          <w:sz w:val="16"/>
          <w:szCs w:val="16"/>
        </w:rPr>
      </w:pPr>
      <w:r w:rsidRPr="002372D5">
        <w:rPr>
          <w:sz w:val="16"/>
          <w:szCs w:val="16"/>
        </w:rPr>
        <w:t>Fuente: COP y reporting.unhcr.org</w:t>
      </w:r>
    </w:p>
    <w:p w14:paraId="1F8A2BE5" w14:textId="77777777" w:rsidR="003821CB" w:rsidRPr="002372D5" w:rsidRDefault="003821CB" w:rsidP="003821CB">
      <w:pPr>
        <w:contextualSpacing/>
        <w:jc w:val="both"/>
        <w:rPr>
          <w:sz w:val="16"/>
          <w:szCs w:val="16"/>
        </w:rPr>
      </w:pPr>
      <w:r w:rsidRPr="002372D5">
        <w:rPr>
          <w:sz w:val="16"/>
          <w:szCs w:val="16"/>
        </w:rPr>
        <w:t>Nota: La metodología utilizada para la aproximación del desempeño permite identificar algunas tendencias y patrones entre grupos de indicadores homogéneos, tanto en términos de consistencia del indicador como de apreciación de resultados, pero en ningún caso puede utilizarse como parámetro preciso de determinación de eficacia o de eficiencia.</w:t>
      </w:r>
    </w:p>
    <w:p w14:paraId="7FBE88A3" w14:textId="77777777" w:rsidR="003821CB" w:rsidRPr="002372D5" w:rsidRDefault="003821CB" w:rsidP="003821CB">
      <w:pPr>
        <w:jc w:val="both"/>
        <w:rPr>
          <w:sz w:val="20"/>
          <w:szCs w:val="20"/>
        </w:rPr>
      </w:pPr>
    </w:p>
    <w:p w14:paraId="4B8CC5FB" w14:textId="77777777" w:rsidR="003821CB" w:rsidRPr="002372D5" w:rsidRDefault="003821CB" w:rsidP="003821CB">
      <w:pPr>
        <w:pStyle w:val="Descripcin"/>
        <w:jc w:val="both"/>
        <w:rPr>
          <w:b w:val="0"/>
          <w:bCs w:val="0"/>
        </w:rPr>
      </w:pPr>
      <w:bookmarkStart w:id="4" w:name="_Toc87207055"/>
      <w:r w:rsidRPr="002372D5">
        <w:t xml:space="preserve">Gráfica </w:t>
      </w:r>
      <w:r w:rsidRPr="002372D5">
        <w:fldChar w:fldCharType="begin"/>
      </w:r>
      <w:r w:rsidRPr="002372D5">
        <w:instrText>SEQ Gráfica \* ARABIC</w:instrText>
      </w:r>
      <w:r w:rsidRPr="002372D5">
        <w:fldChar w:fldCharType="separate"/>
      </w:r>
      <w:r w:rsidRPr="002372D5">
        <w:t>19</w:t>
      </w:r>
      <w:r w:rsidRPr="002372D5">
        <w:fldChar w:fldCharType="end"/>
      </w:r>
      <w:r w:rsidRPr="002372D5">
        <w:t>: Aproximación al desempeño según grado de realización de los indicadores de resultados y de ejecución presupuestaria a nivel de objetivos (2018 – 2020) - Soluciones duraderas (“Durable Solutions”)</w:t>
      </w:r>
      <w:bookmarkEnd w:id="4"/>
    </w:p>
    <w:p w14:paraId="72941642" w14:textId="77777777" w:rsidR="003821CB" w:rsidRPr="002372D5" w:rsidRDefault="003821CB" w:rsidP="003821CB">
      <w:pPr>
        <w:jc w:val="both"/>
        <w:rPr>
          <w:sz w:val="20"/>
          <w:szCs w:val="20"/>
        </w:rPr>
      </w:pPr>
      <w:r w:rsidRPr="002372D5">
        <w:rPr>
          <w:noProof/>
          <w:sz w:val="20"/>
          <w:szCs w:val="20"/>
        </w:rPr>
        <w:drawing>
          <wp:anchor distT="0" distB="0" distL="114300" distR="114300" simplePos="0" relativeHeight="251667456" behindDoc="0" locked="0" layoutInCell="1" allowOverlap="1" wp14:anchorId="5C4572C8" wp14:editId="6F514E2D">
            <wp:simplePos x="0" y="0"/>
            <wp:positionH relativeFrom="column">
              <wp:posOffset>4058068</wp:posOffset>
            </wp:positionH>
            <wp:positionV relativeFrom="paragraph">
              <wp:posOffset>2655163</wp:posOffset>
            </wp:positionV>
            <wp:extent cx="393793" cy="365665"/>
            <wp:effectExtent l="0" t="0" r="0" b="3175"/>
            <wp:wrapNone/>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93793" cy="365665"/>
                    </a:xfrm>
                    <a:prstGeom prst="rect">
                      <a:avLst/>
                    </a:prstGeom>
                  </pic:spPr>
                </pic:pic>
              </a:graphicData>
            </a:graphic>
            <wp14:sizeRelH relativeFrom="page">
              <wp14:pctWidth>0</wp14:pctWidth>
            </wp14:sizeRelH>
            <wp14:sizeRelV relativeFrom="page">
              <wp14:pctHeight>0</wp14:pctHeight>
            </wp14:sizeRelV>
          </wp:anchor>
        </w:drawing>
      </w:r>
      <w:r w:rsidRPr="002372D5">
        <w:rPr>
          <w:noProof/>
          <w:sz w:val="20"/>
          <w:szCs w:val="20"/>
        </w:rPr>
        <w:drawing>
          <wp:inline distT="0" distB="0" distL="0" distR="0" wp14:anchorId="1D31074A" wp14:editId="7CF16DEE">
            <wp:extent cx="3918373" cy="2968319"/>
            <wp:effectExtent l="0" t="0" r="0" b="3810"/>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941413" cy="2985773"/>
                    </a:xfrm>
                    <a:prstGeom prst="rect">
                      <a:avLst/>
                    </a:prstGeom>
                  </pic:spPr>
                </pic:pic>
              </a:graphicData>
            </a:graphic>
          </wp:inline>
        </w:drawing>
      </w:r>
    </w:p>
    <w:p w14:paraId="3626C748" w14:textId="77777777" w:rsidR="003821CB" w:rsidRPr="002372D5" w:rsidRDefault="003821CB" w:rsidP="003821CB">
      <w:pPr>
        <w:contextualSpacing/>
        <w:jc w:val="both"/>
        <w:rPr>
          <w:sz w:val="16"/>
          <w:szCs w:val="16"/>
        </w:rPr>
      </w:pPr>
      <w:r w:rsidRPr="002372D5">
        <w:rPr>
          <w:sz w:val="16"/>
          <w:szCs w:val="16"/>
        </w:rPr>
        <w:t>Fuente: COP y reporting.unhcr.org</w:t>
      </w:r>
    </w:p>
    <w:p w14:paraId="08B7DED1" w14:textId="77777777" w:rsidR="003821CB" w:rsidRPr="002372D5" w:rsidRDefault="003821CB" w:rsidP="003821CB">
      <w:pPr>
        <w:contextualSpacing/>
        <w:jc w:val="both"/>
        <w:rPr>
          <w:sz w:val="16"/>
          <w:szCs w:val="16"/>
        </w:rPr>
      </w:pPr>
      <w:r w:rsidRPr="002372D5">
        <w:rPr>
          <w:sz w:val="16"/>
          <w:szCs w:val="16"/>
        </w:rPr>
        <w:t>Nota: La metodología utilizada para la aproximación del desempeño permite identificar algunas tendencias y patrones entre grupos de indicadores homogéneos, tanto en términos de consistencia del indicador como de apreciación de resultados, pero en ningún caso puede utilizarse como parámetro preciso de determinación de eficacia o de eficiencia.</w:t>
      </w:r>
    </w:p>
    <w:p w14:paraId="10EB9A3F" w14:textId="77777777" w:rsidR="003821CB" w:rsidRPr="002372D5" w:rsidRDefault="003821CB" w:rsidP="003821CB">
      <w:pPr>
        <w:jc w:val="both"/>
        <w:rPr>
          <w:sz w:val="20"/>
          <w:szCs w:val="20"/>
        </w:rPr>
      </w:pPr>
    </w:p>
    <w:p w14:paraId="39891DB5" w14:textId="77777777" w:rsidR="003821CB" w:rsidRPr="002372D5" w:rsidRDefault="003821CB" w:rsidP="003821CB">
      <w:pPr>
        <w:jc w:val="both"/>
        <w:rPr>
          <w:sz w:val="20"/>
          <w:szCs w:val="20"/>
        </w:rPr>
      </w:pPr>
    </w:p>
    <w:p w14:paraId="1C463AE0" w14:textId="4D4D5B90" w:rsidR="003821CB" w:rsidRDefault="003821CB"/>
    <w:p w14:paraId="2BBE76BF" w14:textId="3E2202FD" w:rsidR="003821CB" w:rsidRDefault="003821CB"/>
    <w:p w14:paraId="65D71626" w14:textId="77777777" w:rsidR="003821CB" w:rsidRPr="002372D5" w:rsidRDefault="003821CB" w:rsidP="003821CB">
      <w:pPr>
        <w:pStyle w:val="Ttulo5"/>
        <w:jc w:val="both"/>
        <w:rPr>
          <w:b/>
          <w:bCs/>
          <w:sz w:val="20"/>
          <w:szCs w:val="20"/>
        </w:rPr>
      </w:pPr>
      <w:r w:rsidRPr="002372D5">
        <w:rPr>
          <w:b/>
          <w:bCs/>
          <w:sz w:val="20"/>
          <w:szCs w:val="20"/>
        </w:rPr>
        <w:lastRenderedPageBreak/>
        <w:t>Aproximación al desempeño en Autosuficiencia y empoderamiento comunitario.</w:t>
      </w:r>
    </w:p>
    <w:p w14:paraId="07798AFF" w14:textId="77777777" w:rsidR="003821CB" w:rsidRPr="002372D5" w:rsidRDefault="003821CB" w:rsidP="003821CB">
      <w:pPr>
        <w:pStyle w:val="Prrafodelista"/>
        <w:jc w:val="both"/>
        <w:rPr>
          <w:lang w:val="es-ES"/>
        </w:rPr>
      </w:pPr>
      <w:r w:rsidRPr="002372D5">
        <w:rPr>
          <w:lang w:val="es-ES"/>
        </w:rPr>
        <w:t xml:space="preserve">La gráfica siguiente muestra, de manera aproximada, la relación entre el logro en los indicadores de resultados y la </w:t>
      </w:r>
      <w:r>
        <w:rPr>
          <w:lang w:val="es-ES"/>
        </w:rPr>
        <w:t>implementación</w:t>
      </w:r>
      <w:r w:rsidRPr="002372D5">
        <w:rPr>
          <w:lang w:val="es-ES"/>
        </w:rPr>
        <w:t xml:space="preserve"> presupuestaria a partir de los documentos de planificación y monitoreo de ACNUR, disponibles para el periodo 2018 – 2020 (ver anejos 9, 10 y 11).</w:t>
      </w:r>
    </w:p>
    <w:p w14:paraId="5CD60E49" w14:textId="77777777" w:rsidR="003821CB" w:rsidRPr="002372D5" w:rsidRDefault="003821CB" w:rsidP="003821CB">
      <w:pPr>
        <w:jc w:val="both"/>
        <w:rPr>
          <w:sz w:val="20"/>
          <w:szCs w:val="20"/>
        </w:rPr>
      </w:pPr>
    </w:p>
    <w:p w14:paraId="1AEEE276" w14:textId="77777777" w:rsidR="003821CB" w:rsidRPr="002372D5" w:rsidRDefault="003821CB" w:rsidP="003821CB">
      <w:pPr>
        <w:pStyle w:val="Descripcin"/>
        <w:jc w:val="both"/>
        <w:rPr>
          <w:b w:val="0"/>
          <w:bCs w:val="0"/>
        </w:rPr>
      </w:pPr>
      <w:bookmarkStart w:id="5" w:name="_Toc87207056"/>
      <w:r w:rsidRPr="002372D5">
        <w:t xml:space="preserve">Gráfica </w:t>
      </w:r>
      <w:r w:rsidRPr="002372D5">
        <w:fldChar w:fldCharType="begin"/>
      </w:r>
      <w:r w:rsidRPr="002372D5">
        <w:instrText>SEQ Gráfica \* ARABIC</w:instrText>
      </w:r>
      <w:r w:rsidRPr="002372D5">
        <w:fldChar w:fldCharType="separate"/>
      </w:r>
      <w:r w:rsidRPr="002372D5">
        <w:t>20</w:t>
      </w:r>
      <w:r w:rsidRPr="002372D5">
        <w:fldChar w:fldCharType="end"/>
      </w:r>
      <w:r w:rsidRPr="002372D5">
        <w:t>: Aproximación al desempeño según grado de realización de los indicadores de resultados y de ejecución presupuestaria a nivel de objetivos (2018 – 2020)</w:t>
      </w:r>
      <w:r w:rsidRPr="002372D5">
        <w:rPr>
          <w:b w:val="0"/>
          <w:bCs w:val="0"/>
        </w:rPr>
        <w:t xml:space="preserve"> - </w:t>
      </w:r>
      <w:r w:rsidRPr="002372D5">
        <w:t>Autosuficiencia y empoderamiento comunitario (“Community Empowerment and Self Reliance”)</w:t>
      </w:r>
      <w:bookmarkEnd w:id="5"/>
    </w:p>
    <w:p w14:paraId="59727779" w14:textId="77777777" w:rsidR="003821CB" w:rsidRPr="002372D5" w:rsidRDefault="003821CB" w:rsidP="003821CB">
      <w:pPr>
        <w:jc w:val="both"/>
        <w:rPr>
          <w:sz w:val="20"/>
          <w:szCs w:val="20"/>
        </w:rPr>
      </w:pPr>
      <w:r w:rsidRPr="002372D5">
        <w:rPr>
          <w:noProof/>
          <w:sz w:val="20"/>
          <w:szCs w:val="20"/>
        </w:rPr>
        <w:drawing>
          <wp:anchor distT="0" distB="0" distL="114300" distR="114300" simplePos="0" relativeHeight="251669504" behindDoc="0" locked="0" layoutInCell="1" allowOverlap="1" wp14:anchorId="3982B58E" wp14:editId="667BE2DF">
            <wp:simplePos x="0" y="0"/>
            <wp:positionH relativeFrom="column">
              <wp:posOffset>3971299</wp:posOffset>
            </wp:positionH>
            <wp:positionV relativeFrom="paragraph">
              <wp:posOffset>2553776</wp:posOffset>
            </wp:positionV>
            <wp:extent cx="393793" cy="365665"/>
            <wp:effectExtent l="0" t="0" r="0" b="3175"/>
            <wp:wrapNone/>
            <wp:docPr id="67" name="Imag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393793" cy="365665"/>
                    </a:xfrm>
                    <a:prstGeom prst="rect">
                      <a:avLst/>
                    </a:prstGeom>
                  </pic:spPr>
                </pic:pic>
              </a:graphicData>
            </a:graphic>
            <wp14:sizeRelH relativeFrom="page">
              <wp14:pctWidth>0</wp14:pctWidth>
            </wp14:sizeRelH>
            <wp14:sizeRelV relativeFrom="page">
              <wp14:pctHeight>0</wp14:pctHeight>
            </wp14:sizeRelV>
          </wp:anchor>
        </w:drawing>
      </w:r>
      <w:r w:rsidRPr="002372D5">
        <w:rPr>
          <w:noProof/>
          <w:sz w:val="20"/>
          <w:szCs w:val="20"/>
        </w:rPr>
        <w:drawing>
          <wp:inline distT="0" distB="0" distL="0" distR="0" wp14:anchorId="39BB807F" wp14:editId="693D48CC">
            <wp:extent cx="3699894" cy="2767537"/>
            <wp:effectExtent l="0" t="0" r="0" b="1270"/>
            <wp:docPr id="68" name="Imag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713870" cy="2777991"/>
                    </a:xfrm>
                    <a:prstGeom prst="rect">
                      <a:avLst/>
                    </a:prstGeom>
                  </pic:spPr>
                </pic:pic>
              </a:graphicData>
            </a:graphic>
          </wp:inline>
        </w:drawing>
      </w:r>
    </w:p>
    <w:p w14:paraId="175E360D" w14:textId="77777777" w:rsidR="003821CB" w:rsidRPr="002372D5" w:rsidRDefault="003821CB" w:rsidP="003821CB">
      <w:pPr>
        <w:contextualSpacing/>
        <w:jc w:val="both"/>
        <w:rPr>
          <w:sz w:val="16"/>
          <w:szCs w:val="16"/>
        </w:rPr>
      </w:pPr>
      <w:r w:rsidRPr="002372D5">
        <w:rPr>
          <w:sz w:val="16"/>
          <w:szCs w:val="16"/>
        </w:rPr>
        <w:t>Fuente: COP y reporting.unhcr.org</w:t>
      </w:r>
    </w:p>
    <w:p w14:paraId="144C4314" w14:textId="77777777" w:rsidR="003821CB" w:rsidRPr="002372D5" w:rsidRDefault="003821CB" w:rsidP="003821CB">
      <w:pPr>
        <w:contextualSpacing/>
        <w:jc w:val="both"/>
        <w:rPr>
          <w:sz w:val="16"/>
          <w:szCs w:val="16"/>
        </w:rPr>
      </w:pPr>
      <w:r w:rsidRPr="002372D5">
        <w:rPr>
          <w:sz w:val="16"/>
          <w:szCs w:val="16"/>
        </w:rPr>
        <w:t>Nota: La metodología utilizada para la aproximación del desempeño permite identificar algunas tendencias y patrones entre grupos de indicadores homogéneos, tanto en términos de consistencia del indicador como de apreciación de resultados, pero en ningún caso puede utilizarse como parámetro preciso de determinación de eficacia o de eficiencia.</w:t>
      </w:r>
    </w:p>
    <w:p w14:paraId="4CB60C23" w14:textId="77777777" w:rsidR="003821CB" w:rsidRPr="002372D5" w:rsidRDefault="003821CB" w:rsidP="003821CB">
      <w:pPr>
        <w:jc w:val="both"/>
        <w:rPr>
          <w:sz w:val="16"/>
          <w:szCs w:val="16"/>
        </w:rPr>
      </w:pPr>
    </w:p>
    <w:p w14:paraId="7EFC8B8E" w14:textId="77777777" w:rsidR="003821CB" w:rsidRPr="002372D5" w:rsidRDefault="003821CB" w:rsidP="003821CB">
      <w:pPr>
        <w:jc w:val="both"/>
        <w:rPr>
          <w:sz w:val="20"/>
          <w:szCs w:val="20"/>
        </w:rPr>
      </w:pPr>
    </w:p>
    <w:p w14:paraId="39D97129" w14:textId="77777777" w:rsidR="003821CB" w:rsidRDefault="003821CB"/>
    <w:p w14:paraId="1F5DCDE9" w14:textId="77777777" w:rsidR="003821CB" w:rsidRDefault="003821CB"/>
    <w:sectPr w:rsidR="003821C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28A5"/>
    <w:multiLevelType w:val="hybridMultilevel"/>
    <w:tmpl w:val="5E4030A2"/>
    <w:lvl w:ilvl="0" w:tplc="3C3C2608">
      <w:start w:val="1"/>
      <w:numFmt w:val="decimal"/>
      <w:pStyle w:val="Prrafodelista"/>
      <w:lvlText w:val="(%1)"/>
      <w:lvlJc w:val="left"/>
      <w:pPr>
        <w:ind w:left="786" w:hanging="360"/>
      </w:pPr>
      <w:rPr>
        <w:rFonts w:asciiTheme="minorHAnsi" w:hAnsiTheme="minorHAnsi" w:cstheme="minorHAnsi" w:hint="default"/>
        <w:b w:val="0"/>
        <w:bCs w:val="0"/>
        <w:i w:val="0"/>
        <w:iCs w:val="0"/>
        <w:color w:val="000000" w:themeColor="text1"/>
        <w:sz w:val="20"/>
        <w:szCs w:val="2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80928C3"/>
    <w:multiLevelType w:val="hybridMultilevel"/>
    <w:tmpl w:val="FCC4B400"/>
    <w:lvl w:ilvl="0" w:tplc="040A0005">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4914585D"/>
    <w:multiLevelType w:val="multilevel"/>
    <w:tmpl w:val="0DD86906"/>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b w:val="0"/>
        <w:bCs w:val="0"/>
        <w:i w:val="0"/>
        <w:iCs w:val="0"/>
      </w:rPr>
    </w:lvl>
    <w:lvl w:ilvl="3">
      <w:start w:val="1"/>
      <w:numFmt w:val="decimal"/>
      <w:pStyle w:val="Ttulo4"/>
      <w:lvlText w:val="%1.%2.%3.%4"/>
      <w:lvlJc w:val="left"/>
      <w:pPr>
        <w:ind w:left="2141"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num w:numId="1" w16cid:durableId="1893996958">
    <w:abstractNumId w:val="2"/>
  </w:num>
  <w:num w:numId="2" w16cid:durableId="1387535346">
    <w:abstractNumId w:val="0"/>
  </w:num>
  <w:num w:numId="3" w16cid:durableId="21353654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0D9"/>
    <w:rsid w:val="00135E8F"/>
    <w:rsid w:val="00215293"/>
    <w:rsid w:val="003334E2"/>
    <w:rsid w:val="003821CB"/>
    <w:rsid w:val="00660B4F"/>
    <w:rsid w:val="008B60D9"/>
    <w:rsid w:val="009B1868"/>
    <w:rsid w:val="009B2CD9"/>
    <w:rsid w:val="00AD3ECF"/>
    <w:rsid w:val="00C759F4"/>
    <w:rsid w:val="00DA7407"/>
    <w:rsid w:val="00EB564B"/>
    <w:rsid w:val="00EF3478"/>
    <w:rsid w:val="00FB04D0"/>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AC205"/>
  <w15:chartTrackingRefBased/>
  <w15:docId w15:val="{CC04AC16-0050-40AB-8324-C904F37C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Calibri Light"/>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21CB"/>
    <w:rPr>
      <w:sz w:val="22"/>
      <w:szCs w:val="22"/>
    </w:rPr>
  </w:style>
  <w:style w:type="paragraph" w:styleId="Ttulo1">
    <w:name w:val="heading 1"/>
    <w:basedOn w:val="Normal"/>
    <w:next w:val="Normal"/>
    <w:link w:val="Ttulo1Car"/>
    <w:uiPriority w:val="9"/>
    <w:qFormat/>
    <w:rsid w:val="003821CB"/>
    <w:pPr>
      <w:keepNext/>
      <w:keepLines/>
      <w:numPr>
        <w:numId w:val="1"/>
      </w:numPr>
      <w:pBdr>
        <w:bottom w:val="single" w:sz="4" w:space="1" w:color="BFBFBF" w:themeColor="background1" w:themeShade="BF"/>
      </w:pBdr>
      <w:tabs>
        <w:tab w:val="left" w:pos="426"/>
      </w:tabs>
      <w:spacing w:before="240" w:after="0" w:line="240" w:lineRule="auto"/>
      <w:outlineLvl w:val="0"/>
    </w:pPr>
    <w:rPr>
      <w:rFonts w:asciiTheme="majorHAnsi" w:eastAsiaTheme="majorEastAsia" w:hAnsiTheme="majorHAnsi" w:cstheme="majorBidi"/>
      <w:b/>
      <w:bCs/>
      <w:color w:val="2F5496" w:themeColor="accent1" w:themeShade="BF"/>
      <w:sz w:val="32"/>
      <w:szCs w:val="32"/>
      <w:lang w:val="fr-FR"/>
    </w:rPr>
  </w:style>
  <w:style w:type="paragraph" w:styleId="Ttulo2">
    <w:name w:val="heading 2"/>
    <w:basedOn w:val="Normal"/>
    <w:next w:val="Normal"/>
    <w:link w:val="Ttulo2Car"/>
    <w:uiPriority w:val="9"/>
    <w:unhideWhenUsed/>
    <w:qFormat/>
    <w:rsid w:val="003821CB"/>
    <w:pPr>
      <w:keepNext/>
      <w:keepLines/>
      <w:numPr>
        <w:ilvl w:val="1"/>
        <w:numId w:val="1"/>
      </w:numPr>
      <w:pBdr>
        <w:top w:val="nil"/>
        <w:left w:val="nil"/>
        <w:bottom w:val="nil"/>
        <w:right w:val="nil"/>
        <w:between w:val="nil"/>
        <w:bar w:val="nil"/>
      </w:pBdr>
      <w:spacing w:before="40" w:after="0" w:line="240" w:lineRule="auto"/>
      <w:ind w:left="0" w:firstLine="0"/>
      <w:outlineLvl w:val="1"/>
    </w:pPr>
    <w:rPr>
      <w:rFonts w:asciiTheme="majorHAnsi" w:eastAsiaTheme="majorEastAsia" w:hAnsiTheme="majorHAnsi" w:cstheme="majorBidi"/>
      <w:color w:val="1F3864" w:themeColor="accent1" w:themeShade="80"/>
      <w:sz w:val="26"/>
      <w:szCs w:val="26"/>
      <w:lang w:eastAsia="es-ES_tradnl"/>
    </w:rPr>
  </w:style>
  <w:style w:type="paragraph" w:styleId="Ttulo3">
    <w:name w:val="heading 3"/>
    <w:basedOn w:val="Normal"/>
    <w:next w:val="Normal"/>
    <w:link w:val="Ttulo3Car"/>
    <w:uiPriority w:val="9"/>
    <w:unhideWhenUsed/>
    <w:qFormat/>
    <w:rsid w:val="003821CB"/>
    <w:pPr>
      <w:keepNext/>
      <w:keepLines/>
      <w:numPr>
        <w:ilvl w:val="2"/>
        <w:numId w:val="1"/>
      </w:numPr>
      <w:spacing w:before="40" w:after="0"/>
      <w:jc w:val="both"/>
      <w:outlineLvl w:val="2"/>
    </w:pPr>
    <w:rPr>
      <w:rFonts w:asciiTheme="majorHAnsi" w:eastAsiaTheme="majorEastAsia" w:hAnsiTheme="majorHAnsi" w:cstheme="majorBidi"/>
      <w:color w:val="1F3763" w:themeColor="accent1" w:themeShade="7F"/>
    </w:rPr>
  </w:style>
  <w:style w:type="paragraph" w:styleId="Ttulo4">
    <w:name w:val="heading 4"/>
    <w:basedOn w:val="Normal"/>
    <w:next w:val="Normal"/>
    <w:link w:val="Ttulo4Car"/>
    <w:uiPriority w:val="9"/>
    <w:unhideWhenUsed/>
    <w:qFormat/>
    <w:rsid w:val="003821CB"/>
    <w:pPr>
      <w:keepNext/>
      <w:keepLines/>
      <w:numPr>
        <w:ilvl w:val="3"/>
        <w:numId w:val="1"/>
      </w:numPr>
      <w:spacing w:before="40" w:after="0"/>
      <w:ind w:left="864"/>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3821CB"/>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3821CB"/>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3821CB"/>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3821C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3821C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821CB"/>
    <w:rPr>
      <w:rFonts w:asciiTheme="majorHAnsi" w:eastAsiaTheme="majorEastAsia" w:hAnsiTheme="majorHAnsi" w:cstheme="majorBidi"/>
      <w:b/>
      <w:bCs/>
      <w:color w:val="2F5496" w:themeColor="accent1" w:themeShade="BF"/>
      <w:sz w:val="32"/>
      <w:szCs w:val="32"/>
      <w:lang w:val="fr-FR"/>
    </w:rPr>
  </w:style>
  <w:style w:type="character" w:customStyle="1" w:styleId="Ttulo2Car">
    <w:name w:val="Título 2 Car"/>
    <w:basedOn w:val="Fuentedeprrafopredeter"/>
    <w:link w:val="Ttulo2"/>
    <w:uiPriority w:val="9"/>
    <w:rsid w:val="003821CB"/>
    <w:rPr>
      <w:rFonts w:asciiTheme="majorHAnsi" w:eastAsiaTheme="majorEastAsia" w:hAnsiTheme="majorHAnsi" w:cstheme="majorBidi"/>
      <w:color w:val="1F3864" w:themeColor="accent1" w:themeShade="80"/>
      <w:sz w:val="26"/>
      <w:szCs w:val="26"/>
      <w:lang w:eastAsia="es-ES_tradnl"/>
    </w:rPr>
  </w:style>
  <w:style w:type="character" w:customStyle="1" w:styleId="Ttulo3Car">
    <w:name w:val="Título 3 Car"/>
    <w:basedOn w:val="Fuentedeprrafopredeter"/>
    <w:link w:val="Ttulo3"/>
    <w:uiPriority w:val="9"/>
    <w:rsid w:val="003821CB"/>
    <w:rPr>
      <w:rFonts w:asciiTheme="majorHAnsi" w:eastAsiaTheme="majorEastAsia" w:hAnsiTheme="majorHAnsi" w:cstheme="majorBidi"/>
      <w:color w:val="1F3763" w:themeColor="accent1" w:themeShade="7F"/>
      <w:sz w:val="22"/>
      <w:szCs w:val="22"/>
    </w:rPr>
  </w:style>
  <w:style w:type="character" w:customStyle="1" w:styleId="Ttulo4Car">
    <w:name w:val="Título 4 Car"/>
    <w:basedOn w:val="Fuentedeprrafopredeter"/>
    <w:link w:val="Ttulo4"/>
    <w:uiPriority w:val="9"/>
    <w:rsid w:val="003821CB"/>
    <w:rPr>
      <w:rFonts w:asciiTheme="majorHAnsi" w:eastAsiaTheme="majorEastAsia" w:hAnsiTheme="majorHAnsi" w:cstheme="majorBidi"/>
      <w:i/>
      <w:iCs/>
      <w:color w:val="2F5496" w:themeColor="accent1" w:themeShade="BF"/>
      <w:sz w:val="22"/>
      <w:szCs w:val="22"/>
    </w:rPr>
  </w:style>
  <w:style w:type="character" w:customStyle="1" w:styleId="Ttulo5Car">
    <w:name w:val="Título 5 Car"/>
    <w:basedOn w:val="Fuentedeprrafopredeter"/>
    <w:link w:val="Ttulo5"/>
    <w:uiPriority w:val="9"/>
    <w:rsid w:val="003821CB"/>
    <w:rPr>
      <w:rFonts w:asciiTheme="majorHAnsi" w:eastAsiaTheme="majorEastAsia" w:hAnsiTheme="majorHAnsi" w:cstheme="majorBidi"/>
      <w:color w:val="2F5496" w:themeColor="accent1" w:themeShade="BF"/>
      <w:sz w:val="22"/>
      <w:szCs w:val="22"/>
    </w:rPr>
  </w:style>
  <w:style w:type="character" w:customStyle="1" w:styleId="Ttulo6Car">
    <w:name w:val="Título 6 Car"/>
    <w:basedOn w:val="Fuentedeprrafopredeter"/>
    <w:link w:val="Ttulo6"/>
    <w:uiPriority w:val="9"/>
    <w:semiHidden/>
    <w:rsid w:val="003821CB"/>
    <w:rPr>
      <w:rFonts w:asciiTheme="majorHAnsi" w:eastAsiaTheme="majorEastAsia" w:hAnsiTheme="majorHAnsi" w:cstheme="majorBidi"/>
      <w:color w:val="1F3763" w:themeColor="accent1" w:themeShade="7F"/>
      <w:sz w:val="22"/>
      <w:szCs w:val="22"/>
    </w:rPr>
  </w:style>
  <w:style w:type="character" w:customStyle="1" w:styleId="Ttulo7Car">
    <w:name w:val="Título 7 Car"/>
    <w:basedOn w:val="Fuentedeprrafopredeter"/>
    <w:link w:val="Ttulo7"/>
    <w:uiPriority w:val="9"/>
    <w:semiHidden/>
    <w:rsid w:val="003821CB"/>
    <w:rPr>
      <w:rFonts w:asciiTheme="majorHAnsi" w:eastAsiaTheme="majorEastAsia" w:hAnsiTheme="majorHAnsi" w:cstheme="majorBidi"/>
      <w:i/>
      <w:iCs/>
      <w:color w:val="1F3763" w:themeColor="accent1" w:themeShade="7F"/>
      <w:sz w:val="22"/>
      <w:szCs w:val="22"/>
    </w:rPr>
  </w:style>
  <w:style w:type="character" w:customStyle="1" w:styleId="Ttulo8Car">
    <w:name w:val="Título 8 Car"/>
    <w:basedOn w:val="Fuentedeprrafopredeter"/>
    <w:link w:val="Ttulo8"/>
    <w:uiPriority w:val="9"/>
    <w:semiHidden/>
    <w:rsid w:val="003821C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3821CB"/>
    <w:rPr>
      <w:rFonts w:asciiTheme="majorHAnsi" w:eastAsiaTheme="majorEastAsia" w:hAnsiTheme="majorHAnsi" w:cstheme="majorBidi"/>
      <w:i/>
      <w:iCs/>
      <w:color w:val="272727" w:themeColor="text1" w:themeTint="D8"/>
      <w:sz w:val="21"/>
      <w:szCs w:val="21"/>
    </w:rPr>
  </w:style>
  <w:style w:type="paragraph" w:styleId="Prrafodelista">
    <w:name w:val="List Paragraph"/>
    <w:aliases w:val="Dot pt,F5 List Paragraph,List Paragraph1,List Paragraph Char Char Char,Indicator Text,Colorful List - Accent 11,Numbered Para 1,Bullet 1,Bullet Points,List Paragraph2,MAIN CONTENT,Normal numbered,Issue Action POC,3,Bullet"/>
    <w:basedOn w:val="Normal"/>
    <w:link w:val="PrrafodelistaCar"/>
    <w:uiPriority w:val="34"/>
    <w:qFormat/>
    <w:rsid w:val="003821CB"/>
    <w:pPr>
      <w:numPr>
        <w:numId w:val="2"/>
      </w:numPr>
      <w:tabs>
        <w:tab w:val="left" w:pos="567"/>
        <w:tab w:val="left" w:pos="709"/>
      </w:tabs>
      <w:spacing w:before="240" w:after="240" w:line="240" w:lineRule="auto"/>
      <w:ind w:left="0" w:firstLine="0"/>
    </w:pPr>
    <w:rPr>
      <w:rFonts w:eastAsia="Arial Unicode MS"/>
      <w:sz w:val="20"/>
      <w:szCs w:val="20"/>
      <w:bdr w:val="nil"/>
      <w:lang w:val="es-419"/>
    </w:rPr>
  </w:style>
  <w:style w:type="character" w:customStyle="1" w:styleId="PrrafodelistaCar">
    <w:name w:val="Párrafo de lista Car"/>
    <w:aliases w:val="Dot pt Car,F5 List Paragraph Car,List Paragraph1 Car,List Paragraph Char Char Char Car,Indicator Text Car,Colorful List - Accent 11 Car,Numbered Para 1 Car,Bullet 1 Car,Bullet Points Car,List Paragraph2 Car,MAIN CONTENT Car,3 Car"/>
    <w:link w:val="Prrafodelista"/>
    <w:uiPriority w:val="34"/>
    <w:qFormat/>
    <w:locked/>
    <w:rsid w:val="003821CB"/>
    <w:rPr>
      <w:rFonts w:eastAsia="Arial Unicode MS"/>
      <w:bdr w:val="nil"/>
      <w:lang w:val="es-419"/>
    </w:rPr>
  </w:style>
  <w:style w:type="paragraph" w:styleId="Descripcin">
    <w:name w:val="caption"/>
    <w:basedOn w:val="Normal"/>
    <w:next w:val="Normal"/>
    <w:uiPriority w:val="35"/>
    <w:unhideWhenUsed/>
    <w:qFormat/>
    <w:rsid w:val="003821CB"/>
    <w:pPr>
      <w:spacing w:after="200" w:line="240" w:lineRule="auto"/>
    </w:pPr>
    <w:rPr>
      <w:b/>
      <w:bCs/>
      <w:color w:val="44546A" w:themeColor="text2"/>
      <w:sz w:val="20"/>
      <w:szCs w:val="20"/>
    </w:rPr>
  </w:style>
  <w:style w:type="character" w:styleId="Refdecomentario">
    <w:name w:val="annotation reference"/>
    <w:basedOn w:val="Fuentedeprrafopredeter"/>
    <w:uiPriority w:val="99"/>
    <w:semiHidden/>
    <w:unhideWhenUsed/>
    <w:rsid w:val="003821CB"/>
    <w:rPr>
      <w:sz w:val="16"/>
      <w:szCs w:val="16"/>
    </w:rPr>
  </w:style>
  <w:style w:type="paragraph" w:styleId="Textocomentario">
    <w:name w:val="annotation text"/>
    <w:basedOn w:val="Normal"/>
    <w:link w:val="TextocomentarioCar"/>
    <w:uiPriority w:val="99"/>
    <w:unhideWhenUsed/>
    <w:rsid w:val="003821CB"/>
    <w:pPr>
      <w:spacing w:line="240" w:lineRule="auto"/>
    </w:pPr>
    <w:rPr>
      <w:sz w:val="20"/>
      <w:szCs w:val="20"/>
    </w:rPr>
  </w:style>
  <w:style w:type="character" w:customStyle="1" w:styleId="TextocomentarioCar">
    <w:name w:val="Texto comentario Car"/>
    <w:basedOn w:val="Fuentedeprrafopredeter"/>
    <w:link w:val="Textocomentario"/>
    <w:uiPriority w:val="99"/>
    <w:rsid w:val="003821CB"/>
  </w:style>
  <w:style w:type="paragraph" w:styleId="NormalWeb">
    <w:name w:val="Normal (Web)"/>
    <w:basedOn w:val="Normal"/>
    <w:uiPriority w:val="99"/>
    <w:unhideWhenUsed/>
    <w:rsid w:val="00135E8F"/>
    <w:pPr>
      <w:spacing w:before="100" w:beforeAutospacing="1" w:after="100" w:afterAutospacing="1"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image" Target="media/image13.emf"/><Relationship Id="rId2" Type="http://schemas.openxmlformats.org/officeDocument/2006/relationships/styles" Target="styles.xml"/><Relationship Id="rId16"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5" Type="http://schemas.openxmlformats.org/officeDocument/2006/relationships/image" Target="media/image11.emf"/><Relationship Id="rId10" Type="http://schemas.openxmlformats.org/officeDocument/2006/relationships/image" Target="media/image6.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1263</Words>
  <Characters>6951</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 GRAU AV</dc:creator>
  <cp:keywords/>
  <dc:description/>
  <cp:lastModifiedBy>E GRAU AV</cp:lastModifiedBy>
  <cp:revision>7</cp:revision>
  <dcterms:created xsi:type="dcterms:W3CDTF">2022-02-04T17:51:00Z</dcterms:created>
  <dcterms:modified xsi:type="dcterms:W3CDTF">2022-04-13T17:47:00Z</dcterms:modified>
</cp:coreProperties>
</file>